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die Herstellung von 55.000 qm Oberflächenbehandlung im Ostalbkreis auf Kreisstraßen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für die Herstellung von 55,000 qm Oberflächenbehandlung im Ostalbkreis auf Kreisstraßen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